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B7" w:rsidRDefault="005752B7" w:rsidP="00BF78EE">
      <w:pPr>
        <w:pStyle w:val="Sangradetextonormal"/>
        <w:spacing w:after="120" w:line="276" w:lineRule="auto"/>
        <w:rPr>
          <w:rFonts w:ascii="Arial" w:eastAsia="PMingLiU" w:hAnsi="Arial" w:cs="Arial"/>
          <w:b/>
          <w:szCs w:val="22"/>
        </w:rPr>
      </w:pPr>
      <w:bookmarkStart w:id="0" w:name="_GoBack"/>
      <w:bookmarkEnd w:id="0"/>
      <w:r w:rsidRPr="00BA00B3">
        <w:rPr>
          <w:rFonts w:ascii="Arial" w:eastAsia="PMingLiU" w:hAnsi="Arial" w:cs="Arial"/>
          <w:b/>
          <w:szCs w:val="22"/>
        </w:rPr>
        <w:t>INFORME SOBRE EL</w:t>
      </w:r>
      <w:r>
        <w:rPr>
          <w:rFonts w:ascii="Arial" w:eastAsia="PMingLiU" w:hAnsi="Arial" w:cs="Arial"/>
          <w:b/>
          <w:szCs w:val="22"/>
        </w:rPr>
        <w:t xml:space="preserve"> PROYECTO</w:t>
      </w:r>
      <w:r w:rsidR="00BF78EE" w:rsidRPr="00BF78EE">
        <w:rPr>
          <w:rFonts w:ascii="Arial" w:eastAsia="PMingLiU" w:hAnsi="Arial" w:cs="Arial"/>
          <w:b/>
          <w:szCs w:val="22"/>
        </w:rPr>
        <w:t xml:space="preserve"> </w:t>
      </w:r>
      <w:r w:rsidR="00BF78EE">
        <w:rPr>
          <w:rFonts w:ascii="Arial" w:eastAsia="PMingLiU" w:hAnsi="Arial" w:cs="Arial"/>
          <w:b/>
          <w:szCs w:val="22"/>
        </w:rPr>
        <w:t>DE ORDEN AYG/……./2022, POR LA QUE SE ESTABLECE EL RÉGIMEN DE ORGANIZACIÓN Y FUNCIONAMIENTO DEL REGISTRO DE MERCADOS DE PRODUCTOS AGRARIOS EN ORIGEN, LONJAS Y MESAS DE PRECIOS DE CASTILLA Y LEÓN Y EL PROCEDIMIENTO DE INSCRIPCIÓN, BAJA Y DE MODIFICACIÓN DE LOS DATOS CONTENIDOS EN EL MISMO.</w:t>
      </w:r>
    </w:p>
    <w:p w:rsidR="00BF78EE" w:rsidRPr="00BF78EE" w:rsidRDefault="00BF78EE" w:rsidP="00BF78EE">
      <w:pPr>
        <w:pStyle w:val="Sangradetextonormal"/>
        <w:spacing w:after="120" w:line="276" w:lineRule="auto"/>
        <w:rPr>
          <w:rFonts w:ascii="Arial" w:eastAsia="PMingLiU" w:hAnsi="Arial" w:cs="Arial"/>
          <w:b/>
          <w:szCs w:val="22"/>
        </w:rPr>
      </w:pPr>
    </w:p>
    <w:p w:rsidR="00BF78EE" w:rsidRDefault="005752B7" w:rsidP="00BF78EE">
      <w:pPr>
        <w:autoSpaceDE w:val="0"/>
        <w:autoSpaceDN w:val="0"/>
        <w:adjustRightInd w:val="0"/>
        <w:spacing w:line="276" w:lineRule="auto"/>
        <w:jc w:val="both"/>
        <w:rPr>
          <w:rFonts w:eastAsia="PMingLiU" w:cs="Arial"/>
          <w:sz w:val="22"/>
          <w:szCs w:val="22"/>
        </w:rPr>
      </w:pPr>
      <w:r w:rsidRPr="00475568">
        <w:rPr>
          <w:rFonts w:eastAsia="PMingLiU" w:cs="Arial"/>
          <w:szCs w:val="22"/>
        </w:rPr>
        <w:tab/>
      </w:r>
      <w:r w:rsidR="00BF78EE">
        <w:rPr>
          <w:rFonts w:eastAsia="PMingLiU" w:cs="Arial"/>
          <w:sz w:val="22"/>
          <w:szCs w:val="22"/>
        </w:rPr>
        <w:t>Visto el proyecto de o</w:t>
      </w:r>
      <w:r w:rsidR="00BF78EE" w:rsidRPr="00B501D0">
        <w:rPr>
          <w:rFonts w:eastAsia="PMingLiU" w:cs="Arial"/>
          <w:sz w:val="22"/>
          <w:szCs w:val="22"/>
        </w:rPr>
        <w:t xml:space="preserve">rden </w:t>
      </w:r>
      <w:r w:rsidR="00BF78EE" w:rsidRPr="00B501D0">
        <w:rPr>
          <w:rFonts w:eastAsiaTheme="minorHAnsi" w:cs="Arial"/>
          <w:sz w:val="22"/>
          <w:szCs w:val="22"/>
          <w:lang w:val="es-ES" w:eastAsia="en-US"/>
        </w:rPr>
        <w:t>de referencia, y de conformidad con lo dispuesto en el apartado 1.h) del artículo 39 de la Ley 3/2001, de 3 de julio, del Gobierno y de la Administración de l</w:t>
      </w:r>
      <w:r w:rsidR="00BF78EE">
        <w:rPr>
          <w:rFonts w:eastAsiaTheme="minorHAnsi" w:cs="Arial"/>
          <w:sz w:val="22"/>
          <w:szCs w:val="22"/>
          <w:lang w:val="es-ES" w:eastAsia="en-US"/>
        </w:rPr>
        <w:t xml:space="preserve">a Comunidad de Castilla y León, se formulan las siguientes </w:t>
      </w:r>
      <w:r w:rsidR="00BF78EE" w:rsidRPr="00B501D0">
        <w:rPr>
          <w:rFonts w:eastAsia="PMingLiU" w:cs="Arial"/>
          <w:sz w:val="22"/>
          <w:szCs w:val="22"/>
        </w:rPr>
        <w:t xml:space="preserve">observaciones dentro del ámbito de </w:t>
      </w:r>
      <w:r w:rsidR="00BF78EE">
        <w:rPr>
          <w:rFonts w:eastAsia="PMingLiU" w:cs="Arial"/>
          <w:sz w:val="22"/>
          <w:szCs w:val="22"/>
        </w:rPr>
        <w:t>competencias de esta Consejería:</w:t>
      </w:r>
    </w:p>
    <w:p w:rsidR="00BF78EE" w:rsidRDefault="00BF78EE" w:rsidP="00BF78EE">
      <w:pPr>
        <w:autoSpaceDE w:val="0"/>
        <w:autoSpaceDN w:val="0"/>
        <w:adjustRightInd w:val="0"/>
        <w:spacing w:line="276" w:lineRule="auto"/>
        <w:jc w:val="both"/>
        <w:rPr>
          <w:rFonts w:eastAsia="PMingLiU" w:cs="Arial"/>
          <w:sz w:val="22"/>
          <w:szCs w:val="22"/>
        </w:rPr>
      </w:pPr>
    </w:p>
    <w:p w:rsidR="00BF78EE" w:rsidRPr="00A1453C" w:rsidRDefault="00BF78EE" w:rsidP="00BF78EE">
      <w:pPr>
        <w:pStyle w:val="Sangradetextonormal"/>
        <w:numPr>
          <w:ilvl w:val="0"/>
          <w:numId w:val="2"/>
        </w:numPr>
        <w:spacing w:after="120" w:line="276" w:lineRule="auto"/>
        <w:rPr>
          <w:rFonts w:ascii="Arial" w:eastAsia="PMingLiU" w:hAnsi="Arial" w:cs="Arial"/>
          <w:b/>
          <w:szCs w:val="22"/>
        </w:rPr>
      </w:pPr>
      <w:r w:rsidRPr="00A1453C">
        <w:rPr>
          <w:rFonts w:ascii="Arial" w:eastAsia="PMingLiU" w:hAnsi="Arial" w:cs="Arial"/>
          <w:b/>
          <w:szCs w:val="22"/>
        </w:rPr>
        <w:t>PARTE EXPOSITIVA</w:t>
      </w:r>
      <w:r>
        <w:rPr>
          <w:rFonts w:ascii="Arial" w:eastAsia="PMingLiU" w:hAnsi="Arial" w:cs="Arial"/>
          <w:b/>
          <w:szCs w:val="22"/>
        </w:rPr>
        <w:t>.</w:t>
      </w:r>
    </w:p>
    <w:p w:rsidR="00BF78EE" w:rsidRDefault="00E07B41" w:rsidP="00BF78EE">
      <w:pPr>
        <w:pStyle w:val="Sangradetextonormal"/>
        <w:spacing w:after="120" w:line="276" w:lineRule="auto"/>
        <w:ind w:firstLine="708"/>
        <w:rPr>
          <w:rFonts w:ascii="Arial" w:eastAsia="PMingLiU" w:hAnsi="Arial" w:cs="Arial"/>
          <w:szCs w:val="22"/>
        </w:rPr>
      </w:pPr>
      <w:r>
        <w:rPr>
          <w:rFonts w:ascii="Arial" w:eastAsia="PMingLiU" w:hAnsi="Arial" w:cs="Arial"/>
          <w:szCs w:val="22"/>
        </w:rPr>
        <w:t>Deberían</w:t>
      </w:r>
      <w:r w:rsidR="00BF78EE">
        <w:rPr>
          <w:rFonts w:ascii="Arial" w:eastAsia="PMingLiU" w:hAnsi="Arial" w:cs="Arial"/>
          <w:szCs w:val="22"/>
        </w:rPr>
        <w:t xml:space="preserve"> completarse los párrafos dedicados a justificar el cumplimiento de los principios de </w:t>
      </w:r>
      <w:r w:rsidR="00BF78EE" w:rsidRPr="00E17B37">
        <w:rPr>
          <w:rFonts w:ascii="Arial" w:eastAsia="PMingLiU" w:hAnsi="Arial" w:cs="Arial"/>
          <w:szCs w:val="22"/>
        </w:rPr>
        <w:t>buena regulación plasmados en la Ley 39/2015, de 1 de octubre, del Procedimiento Administrativo Común de las Administraciones Públicas</w:t>
      </w:r>
      <w:r w:rsidR="00BF78EE">
        <w:rPr>
          <w:rFonts w:ascii="Arial" w:eastAsia="PMingLiU" w:hAnsi="Arial" w:cs="Arial"/>
          <w:szCs w:val="22"/>
        </w:rPr>
        <w:t xml:space="preserve">, con una referencia a los principios propios de nuestro ordenamiento jurídico que están previstos en el artículo 42.1 de la </w:t>
      </w:r>
      <w:r w:rsidR="00BF78EE" w:rsidRPr="00A1453C">
        <w:rPr>
          <w:rFonts w:ascii="Arial" w:eastAsia="PMingLiU" w:hAnsi="Arial" w:cs="Arial"/>
          <w:szCs w:val="22"/>
        </w:rPr>
        <w:t>Ley 2/2010, de 11 de marzo, de Derechos de los Ciudadanos en sus relaciones con la Administración de la Comunidad de Castilla y León y de Gestión Pública</w:t>
      </w:r>
      <w:r w:rsidR="00BF78EE">
        <w:rPr>
          <w:rFonts w:ascii="Arial" w:eastAsia="PMingLiU" w:hAnsi="Arial" w:cs="Arial"/>
          <w:szCs w:val="22"/>
        </w:rPr>
        <w:t>, como son los de coherencia, responsabilidad y accesibilidad.</w:t>
      </w:r>
    </w:p>
    <w:p w:rsidR="00BF78EE" w:rsidRPr="00E17B37" w:rsidRDefault="00BF78EE" w:rsidP="00BF78EE">
      <w:pPr>
        <w:pStyle w:val="Sangradetextonormal"/>
        <w:numPr>
          <w:ilvl w:val="0"/>
          <w:numId w:val="2"/>
        </w:numPr>
        <w:spacing w:after="120" w:line="276" w:lineRule="auto"/>
        <w:rPr>
          <w:rFonts w:ascii="Arial" w:eastAsia="PMingLiU" w:hAnsi="Arial" w:cs="Arial"/>
          <w:b/>
          <w:szCs w:val="22"/>
        </w:rPr>
      </w:pPr>
      <w:r w:rsidRPr="00E17B37">
        <w:rPr>
          <w:rFonts w:ascii="Arial" w:eastAsia="PMingLiU" w:hAnsi="Arial" w:cs="Arial"/>
          <w:b/>
          <w:szCs w:val="22"/>
        </w:rPr>
        <w:t>ARTÍCULOS 5 Y 6.</w:t>
      </w:r>
    </w:p>
    <w:p w:rsidR="00BF78EE" w:rsidRDefault="00BF78EE" w:rsidP="00BF78EE">
      <w:pPr>
        <w:pStyle w:val="Sangradetextonormal"/>
        <w:spacing w:after="120" w:line="276" w:lineRule="auto"/>
        <w:ind w:firstLine="708"/>
        <w:rPr>
          <w:rFonts w:ascii="Arial" w:eastAsia="PMingLiU" w:hAnsi="Arial" w:cs="Arial"/>
          <w:szCs w:val="22"/>
        </w:rPr>
      </w:pPr>
      <w:r>
        <w:rPr>
          <w:rFonts w:ascii="Arial" w:eastAsia="PMingLiU" w:hAnsi="Arial" w:cs="Arial"/>
          <w:szCs w:val="22"/>
        </w:rPr>
        <w:t xml:space="preserve">En el artículo 5 se prescribe un plazo máximo e improrrogable de 10 días si se debe subsanar documentación, remitiéndose a la normativa básica del procedimiento. Pues bien, esa </w:t>
      </w:r>
      <w:proofErr w:type="spellStart"/>
      <w:r>
        <w:rPr>
          <w:rFonts w:ascii="Arial" w:eastAsia="PMingLiU" w:hAnsi="Arial" w:cs="Arial"/>
          <w:szCs w:val="22"/>
        </w:rPr>
        <w:t>improrrogabilidad</w:t>
      </w:r>
      <w:proofErr w:type="spellEnd"/>
      <w:r>
        <w:rPr>
          <w:rFonts w:ascii="Arial" w:eastAsia="PMingLiU" w:hAnsi="Arial" w:cs="Arial"/>
          <w:szCs w:val="22"/>
        </w:rPr>
        <w:t xml:space="preserve"> de los plazos contradice la posible ampliación de plazos del artículo 68 de la Ley 39/2015, de 1 de octubre, que es precisamente esa normativa básica.</w:t>
      </w:r>
    </w:p>
    <w:p w:rsidR="00BF78EE" w:rsidRDefault="00BF78EE" w:rsidP="00BF78EE">
      <w:pPr>
        <w:pStyle w:val="Sangradetextonormal"/>
        <w:spacing w:after="120" w:line="276" w:lineRule="auto"/>
        <w:ind w:firstLine="708"/>
        <w:rPr>
          <w:rFonts w:ascii="Arial" w:eastAsia="PMingLiU" w:hAnsi="Arial" w:cs="Arial"/>
          <w:szCs w:val="22"/>
        </w:rPr>
      </w:pPr>
      <w:r>
        <w:rPr>
          <w:rFonts w:ascii="Arial" w:eastAsia="PMingLiU" w:hAnsi="Arial" w:cs="Arial"/>
          <w:szCs w:val="22"/>
        </w:rPr>
        <w:t>Además, el citado precepto, con ocasión del tratamiento de la solicitud, se refiere a “las entidades interesadas”, mientras que en el artículo 6, con ocasión de la comunicación de modificación de datos, se emplea la expresión “los titulares”. Se recomienda emplear el mismo tratamiento para referirse a la figura del interesado en ambos artículos.</w:t>
      </w:r>
    </w:p>
    <w:p w:rsidR="00BF78EE" w:rsidRDefault="00BF78EE" w:rsidP="00BF78EE">
      <w:pPr>
        <w:pStyle w:val="Sangradetextonormal"/>
        <w:spacing w:after="120" w:line="276" w:lineRule="auto"/>
        <w:ind w:firstLine="708"/>
        <w:rPr>
          <w:rFonts w:ascii="Arial" w:eastAsia="PMingLiU" w:hAnsi="Arial" w:cs="Arial"/>
          <w:szCs w:val="22"/>
        </w:rPr>
      </w:pPr>
      <w:r>
        <w:rPr>
          <w:rFonts w:ascii="Arial" w:eastAsia="PMingLiU" w:hAnsi="Arial" w:cs="Arial"/>
          <w:szCs w:val="22"/>
        </w:rPr>
        <w:t xml:space="preserve">Por otro lado, el artículo 6 establece la obligación de comunicar los datos en el plazo de un mes. Sin embargo, el artículo 9. 2 c) del Decreto 19/2021, de 9 de septiembre, </w:t>
      </w:r>
      <w:r w:rsidR="00E07B41">
        <w:rPr>
          <w:rFonts w:ascii="Arial" w:eastAsia="PMingLiU" w:hAnsi="Arial" w:cs="Arial"/>
          <w:szCs w:val="22"/>
        </w:rPr>
        <w:t xml:space="preserve">sobre mercados de productos agrarios en origen, lonjas y mesas de precios de Castilla y León, </w:t>
      </w:r>
      <w:r>
        <w:rPr>
          <w:rFonts w:ascii="Arial" w:eastAsia="PMingLiU" w:hAnsi="Arial" w:cs="Arial"/>
          <w:szCs w:val="22"/>
        </w:rPr>
        <w:t>establece la obligación anual de comunicar los datos que dieron lugar al reconocimiento. Parece necesario solventar esta contradicción.</w:t>
      </w:r>
    </w:p>
    <w:p w:rsidR="00BF78EE" w:rsidRDefault="00BF78EE" w:rsidP="00BF78EE">
      <w:pPr>
        <w:pStyle w:val="Sangradetextonormal"/>
        <w:numPr>
          <w:ilvl w:val="0"/>
          <w:numId w:val="2"/>
        </w:numPr>
        <w:spacing w:after="120" w:line="276" w:lineRule="auto"/>
        <w:rPr>
          <w:rFonts w:ascii="Arial" w:eastAsia="PMingLiU" w:hAnsi="Arial" w:cs="Arial"/>
          <w:b/>
          <w:szCs w:val="22"/>
        </w:rPr>
      </w:pPr>
      <w:r w:rsidRPr="008036B1">
        <w:rPr>
          <w:rFonts w:ascii="Arial" w:eastAsia="PMingLiU" w:hAnsi="Arial" w:cs="Arial"/>
          <w:b/>
          <w:szCs w:val="22"/>
        </w:rPr>
        <w:t>ARTÍCULO 8.2</w:t>
      </w:r>
      <w:r>
        <w:rPr>
          <w:rFonts w:ascii="Arial" w:eastAsia="PMingLiU" w:hAnsi="Arial" w:cs="Arial"/>
          <w:b/>
          <w:szCs w:val="22"/>
        </w:rPr>
        <w:t>.</w:t>
      </w:r>
    </w:p>
    <w:p w:rsidR="00BF78EE" w:rsidRDefault="00BF78EE" w:rsidP="00BF78EE">
      <w:pPr>
        <w:pStyle w:val="Sangradetextonormal"/>
        <w:spacing w:after="120" w:line="276" w:lineRule="auto"/>
        <w:ind w:firstLine="708"/>
        <w:rPr>
          <w:rFonts w:ascii="Arial" w:eastAsia="PMingLiU" w:hAnsi="Arial" w:cs="Arial"/>
          <w:szCs w:val="22"/>
        </w:rPr>
      </w:pPr>
      <w:r>
        <w:rPr>
          <w:rFonts w:ascii="Arial" w:eastAsia="PMingLiU" w:hAnsi="Arial" w:cs="Arial"/>
          <w:szCs w:val="22"/>
        </w:rPr>
        <w:t xml:space="preserve">En este artículo se trata la representación de la entidad interesada, y esta representación se limita a la acreditada a través de la Orden AYT/1147/2010, de 6 de octubre. Debe advertirse que caben otras formas de representación no acreditadas a través </w:t>
      </w:r>
      <w:r>
        <w:rPr>
          <w:rFonts w:ascii="Arial" w:eastAsia="PMingLiU" w:hAnsi="Arial" w:cs="Arial"/>
          <w:szCs w:val="22"/>
        </w:rPr>
        <w:lastRenderedPageBreak/>
        <w:t>del mecanismo previsto en la citada orden, en concreto las representaciones establecidas a través de un apoderamiento realizado en el registro electrónico de apoderamientos previsto en el artículo 6 de la Ley 39/2015, de 1 de octubre.</w:t>
      </w:r>
    </w:p>
    <w:p w:rsidR="00BF78EE" w:rsidRDefault="00BF78EE" w:rsidP="00BF78EE">
      <w:pPr>
        <w:pStyle w:val="Sangradetextonormal"/>
        <w:numPr>
          <w:ilvl w:val="0"/>
          <w:numId w:val="2"/>
        </w:numPr>
        <w:spacing w:after="120" w:line="276" w:lineRule="auto"/>
        <w:rPr>
          <w:rFonts w:ascii="Arial" w:eastAsia="PMingLiU" w:hAnsi="Arial" w:cs="Arial"/>
          <w:b/>
          <w:szCs w:val="22"/>
        </w:rPr>
      </w:pPr>
      <w:r w:rsidRPr="00100D27">
        <w:rPr>
          <w:rFonts w:ascii="Arial" w:eastAsia="PMingLiU" w:hAnsi="Arial" w:cs="Arial"/>
          <w:b/>
          <w:szCs w:val="22"/>
        </w:rPr>
        <w:t>ARTÍCULO 9.2</w:t>
      </w:r>
      <w:r>
        <w:rPr>
          <w:rFonts w:ascii="Arial" w:eastAsia="PMingLiU" w:hAnsi="Arial" w:cs="Arial"/>
          <w:b/>
          <w:szCs w:val="22"/>
        </w:rPr>
        <w:t>.</w:t>
      </w:r>
    </w:p>
    <w:p w:rsidR="00BF78EE" w:rsidRPr="00B34E03" w:rsidRDefault="00BF78EE" w:rsidP="00BF78EE">
      <w:pPr>
        <w:pStyle w:val="Sangradetextonormal"/>
        <w:spacing w:after="120" w:line="276" w:lineRule="auto"/>
        <w:ind w:firstLine="708"/>
        <w:rPr>
          <w:rFonts w:ascii="Arial" w:eastAsia="PMingLiU" w:hAnsi="Arial" w:cs="Arial"/>
          <w:szCs w:val="22"/>
        </w:rPr>
      </w:pPr>
      <w:r w:rsidRPr="00B34E03">
        <w:rPr>
          <w:rFonts w:ascii="Arial" w:eastAsia="PMingLiU" w:hAnsi="Arial" w:cs="Arial"/>
          <w:szCs w:val="22"/>
        </w:rPr>
        <w:t>En el mismo se habla de la “propuesta de resolución” tras el examen de la “comunicación”.</w:t>
      </w:r>
    </w:p>
    <w:p w:rsidR="00BF78EE" w:rsidRPr="00B34E03" w:rsidRDefault="00BF78EE" w:rsidP="00BF78EE">
      <w:pPr>
        <w:pStyle w:val="Sangradetextonormal"/>
        <w:spacing w:after="120" w:line="276" w:lineRule="auto"/>
        <w:ind w:firstLine="708"/>
        <w:rPr>
          <w:rFonts w:ascii="Arial" w:eastAsia="PMingLiU" w:hAnsi="Arial" w:cs="Arial"/>
          <w:szCs w:val="22"/>
        </w:rPr>
      </w:pPr>
      <w:r>
        <w:rPr>
          <w:rFonts w:ascii="Arial" w:eastAsia="PMingLiU" w:hAnsi="Arial" w:cs="Arial"/>
          <w:szCs w:val="22"/>
        </w:rPr>
        <w:t>En la medida</w:t>
      </w:r>
      <w:r w:rsidRPr="00B34E03">
        <w:rPr>
          <w:rFonts w:ascii="Arial" w:eastAsia="PMingLiU" w:hAnsi="Arial" w:cs="Arial"/>
          <w:szCs w:val="22"/>
        </w:rPr>
        <w:t xml:space="preserve"> en que </w:t>
      </w:r>
      <w:r>
        <w:rPr>
          <w:rFonts w:ascii="Arial" w:eastAsia="PMingLiU" w:hAnsi="Arial" w:cs="Arial"/>
          <w:szCs w:val="22"/>
        </w:rPr>
        <w:t>las comunicaciones no serán</w:t>
      </w:r>
      <w:r w:rsidRPr="00B34E03">
        <w:rPr>
          <w:rFonts w:ascii="Arial" w:eastAsia="PMingLiU" w:hAnsi="Arial" w:cs="Arial"/>
          <w:szCs w:val="22"/>
        </w:rPr>
        <w:t xml:space="preserve"> o</w:t>
      </w:r>
      <w:r>
        <w:rPr>
          <w:rFonts w:ascii="Arial" w:eastAsia="PMingLiU" w:hAnsi="Arial" w:cs="Arial"/>
          <w:szCs w:val="22"/>
        </w:rPr>
        <w:t xml:space="preserve">bjeto de resolución (como bien se establece en el artículo 9.3), no debería </w:t>
      </w:r>
      <w:r w:rsidRPr="00B34E03">
        <w:rPr>
          <w:rFonts w:ascii="Arial" w:eastAsia="PMingLiU" w:hAnsi="Arial" w:cs="Arial"/>
          <w:szCs w:val="22"/>
        </w:rPr>
        <w:t>establecerse el dictado de una propuesta de resolución</w:t>
      </w:r>
      <w:r>
        <w:rPr>
          <w:rFonts w:ascii="Arial" w:eastAsia="PMingLiU" w:hAnsi="Arial" w:cs="Arial"/>
          <w:szCs w:val="22"/>
        </w:rPr>
        <w:t xml:space="preserve"> para ellas</w:t>
      </w:r>
      <w:r w:rsidRPr="00B34E03">
        <w:rPr>
          <w:rFonts w:ascii="Arial" w:eastAsia="PMingLiU" w:hAnsi="Arial" w:cs="Arial"/>
          <w:szCs w:val="22"/>
        </w:rPr>
        <w:t xml:space="preserve">, si acaso se podrá hablar de un informe para incorporar al Registro la oportuna comunicación de datos </w:t>
      </w:r>
    </w:p>
    <w:p w:rsidR="00BF78EE" w:rsidRDefault="00BF78EE" w:rsidP="00BF78EE">
      <w:pPr>
        <w:pStyle w:val="Sangradetextonormal"/>
        <w:numPr>
          <w:ilvl w:val="0"/>
          <w:numId w:val="2"/>
        </w:numPr>
        <w:spacing w:after="120" w:line="276" w:lineRule="auto"/>
        <w:rPr>
          <w:rFonts w:ascii="Arial" w:eastAsia="PMingLiU" w:hAnsi="Arial" w:cs="Arial"/>
          <w:b/>
          <w:szCs w:val="22"/>
        </w:rPr>
      </w:pPr>
      <w:r>
        <w:rPr>
          <w:rFonts w:ascii="Arial" w:eastAsia="PMingLiU" w:hAnsi="Arial" w:cs="Arial"/>
          <w:b/>
          <w:szCs w:val="22"/>
        </w:rPr>
        <w:t>INCORPORACIÓN DE UNA DISPOSICIÓN ADICIONAL</w:t>
      </w:r>
      <w:r w:rsidR="00E07B41">
        <w:rPr>
          <w:rFonts w:ascii="Arial" w:eastAsia="PMingLiU" w:hAnsi="Arial" w:cs="Arial"/>
          <w:b/>
          <w:szCs w:val="22"/>
        </w:rPr>
        <w:t>.</w:t>
      </w:r>
    </w:p>
    <w:p w:rsidR="00BF78EE" w:rsidRPr="00B34E03" w:rsidRDefault="00BF78EE" w:rsidP="00BF78EE">
      <w:pPr>
        <w:pStyle w:val="Sangradetextonormal"/>
        <w:spacing w:after="120" w:line="276" w:lineRule="auto"/>
        <w:ind w:firstLine="708"/>
        <w:rPr>
          <w:rFonts w:ascii="Arial" w:eastAsia="PMingLiU" w:hAnsi="Arial" w:cs="Arial"/>
          <w:szCs w:val="22"/>
        </w:rPr>
      </w:pPr>
      <w:r w:rsidRPr="00B34E03">
        <w:rPr>
          <w:rFonts w:ascii="Arial" w:eastAsia="PMingLiU" w:hAnsi="Arial" w:cs="Arial"/>
          <w:szCs w:val="22"/>
        </w:rPr>
        <w:t>En l</w:t>
      </w:r>
      <w:r>
        <w:rPr>
          <w:rFonts w:ascii="Arial" w:eastAsia="PMingLiU" w:hAnsi="Arial" w:cs="Arial"/>
          <w:szCs w:val="22"/>
        </w:rPr>
        <w:t>a medida en que de la creación</w:t>
      </w:r>
      <w:r w:rsidRPr="00B34E03">
        <w:rPr>
          <w:rFonts w:ascii="Arial" w:eastAsia="PMingLiU" w:hAnsi="Arial" w:cs="Arial"/>
          <w:szCs w:val="22"/>
        </w:rPr>
        <w:t xml:space="preserve"> de este registro parece que </w:t>
      </w:r>
      <w:r>
        <w:rPr>
          <w:rFonts w:ascii="Arial" w:eastAsia="PMingLiU" w:hAnsi="Arial" w:cs="Arial"/>
          <w:szCs w:val="22"/>
        </w:rPr>
        <w:t>puede</w:t>
      </w:r>
      <w:r w:rsidRPr="00B34E03">
        <w:rPr>
          <w:rFonts w:ascii="Arial" w:eastAsia="PMingLiU" w:hAnsi="Arial" w:cs="Arial"/>
          <w:szCs w:val="22"/>
        </w:rPr>
        <w:t xml:space="preserve"> generarse algún tipo de información activa</w:t>
      </w:r>
      <w:r>
        <w:rPr>
          <w:rFonts w:ascii="Arial" w:eastAsia="PMingLiU" w:hAnsi="Arial" w:cs="Arial"/>
          <w:szCs w:val="22"/>
        </w:rPr>
        <w:t>,</w:t>
      </w:r>
      <w:r w:rsidRPr="00B34E03">
        <w:rPr>
          <w:rFonts w:ascii="Arial" w:eastAsia="PMingLiU" w:hAnsi="Arial" w:cs="Arial"/>
          <w:szCs w:val="22"/>
        </w:rPr>
        <w:t xml:space="preserve"> se sugiere</w:t>
      </w:r>
      <w:r>
        <w:rPr>
          <w:rFonts w:ascii="Arial" w:eastAsia="PMingLiU" w:hAnsi="Arial" w:cs="Arial"/>
          <w:szCs w:val="22"/>
        </w:rPr>
        <w:t xml:space="preserve"> la incorporación de una disposición adicional en los mismos términos que se hizo para el Decreto 19/2021, de 9 de septiembre, que podría tener la siguiente redacción:</w:t>
      </w:r>
    </w:p>
    <w:p w:rsidR="00BF78EE" w:rsidRPr="00BF78EE" w:rsidRDefault="00BF78EE" w:rsidP="00BF78EE">
      <w:pPr>
        <w:pStyle w:val="Sangradetextonormal"/>
        <w:spacing w:after="120" w:line="276" w:lineRule="auto"/>
        <w:rPr>
          <w:rFonts w:ascii="Arial" w:hAnsi="Arial" w:cs="Arial"/>
          <w:i/>
        </w:rPr>
      </w:pPr>
      <w:r w:rsidRPr="00BF78EE">
        <w:rPr>
          <w:rFonts w:ascii="Arial" w:hAnsi="Arial" w:cs="Arial"/>
          <w:i/>
        </w:rPr>
        <w:t>“DISPOSICIÓN ADICIONAL Transparencia e información activa</w:t>
      </w:r>
    </w:p>
    <w:p w:rsidR="00BF78EE" w:rsidRDefault="00BF78EE" w:rsidP="00BF78EE">
      <w:pPr>
        <w:pStyle w:val="Sangradetextonormal"/>
        <w:spacing w:after="120" w:line="276" w:lineRule="auto"/>
        <w:rPr>
          <w:rFonts w:ascii="Arial" w:hAnsi="Arial" w:cs="Arial"/>
        </w:rPr>
      </w:pPr>
      <w:r w:rsidRPr="00BF78EE">
        <w:rPr>
          <w:rFonts w:ascii="Arial" w:hAnsi="Arial" w:cs="Arial"/>
          <w:i/>
        </w:rPr>
        <w:t>La información activa y los datos que se puedan generar en aplicación de esta orden, estarán disponibles en el Portal de Gobierno Abierto de la Junta de Castilla y León. Los contenidos serán suministrados en datos abiertos con el nivel de agregación o disociación de datos que sea preciso para garantizar la protección de las personas a las que se refiera la información</w:t>
      </w:r>
      <w:r>
        <w:rPr>
          <w:rFonts w:ascii="Arial" w:hAnsi="Arial" w:cs="Arial"/>
        </w:rPr>
        <w:t>.”</w:t>
      </w:r>
    </w:p>
    <w:p w:rsidR="00BF78EE" w:rsidRDefault="00BF78EE" w:rsidP="00BF78EE">
      <w:pPr>
        <w:pStyle w:val="Sangradetextonormal"/>
        <w:rPr>
          <w:rFonts w:ascii="Arial" w:eastAsia="PMingLiU" w:hAnsi="Arial" w:cs="Arial"/>
          <w:szCs w:val="22"/>
        </w:rPr>
      </w:pPr>
    </w:p>
    <w:p w:rsidR="00BF78EE" w:rsidRPr="00B501D0" w:rsidRDefault="00BF78EE" w:rsidP="00BF78EE">
      <w:pPr>
        <w:pStyle w:val="Sangradetextonormal"/>
        <w:rPr>
          <w:rFonts w:ascii="Arial" w:eastAsia="PMingLiU" w:hAnsi="Arial" w:cs="Arial"/>
          <w:szCs w:val="22"/>
        </w:rPr>
      </w:pPr>
    </w:p>
    <w:p w:rsidR="00BF78EE" w:rsidRPr="00640880" w:rsidRDefault="00BF78EE" w:rsidP="00BF78EE">
      <w:pPr>
        <w:jc w:val="center"/>
        <w:rPr>
          <w:rFonts w:ascii="Calibri" w:hAnsi="Calibri"/>
          <w:sz w:val="22"/>
          <w:szCs w:val="22"/>
          <w:lang w:val="es-ES"/>
        </w:rPr>
      </w:pPr>
      <w:r w:rsidRPr="00640880">
        <w:rPr>
          <w:sz w:val="22"/>
          <w:szCs w:val="22"/>
        </w:rPr>
        <w:t>Valladolid, a la fecha de la firma electrónica</w:t>
      </w:r>
    </w:p>
    <w:p w:rsidR="00BF78EE" w:rsidRPr="00640880" w:rsidRDefault="00BF78EE" w:rsidP="00BF78EE">
      <w:pPr>
        <w:jc w:val="center"/>
        <w:rPr>
          <w:sz w:val="22"/>
          <w:szCs w:val="22"/>
        </w:rPr>
      </w:pPr>
    </w:p>
    <w:p w:rsidR="00BF78EE" w:rsidRPr="00640880" w:rsidRDefault="00BF78EE" w:rsidP="00BF78EE">
      <w:pPr>
        <w:jc w:val="center"/>
        <w:rPr>
          <w:sz w:val="22"/>
          <w:szCs w:val="22"/>
        </w:rPr>
      </w:pPr>
      <w:r w:rsidRPr="00640880">
        <w:rPr>
          <w:sz w:val="22"/>
          <w:szCs w:val="22"/>
        </w:rPr>
        <w:t>EL SECRETARIO GENERAL DE LA CONSEJERÍA DE TRANSPARENCIA,</w:t>
      </w:r>
    </w:p>
    <w:p w:rsidR="00BF78EE" w:rsidRPr="00640880" w:rsidRDefault="00BF78EE" w:rsidP="00BF78EE">
      <w:pPr>
        <w:jc w:val="center"/>
        <w:rPr>
          <w:sz w:val="22"/>
          <w:szCs w:val="22"/>
        </w:rPr>
      </w:pPr>
      <w:r w:rsidRPr="00640880">
        <w:rPr>
          <w:sz w:val="22"/>
          <w:szCs w:val="22"/>
        </w:rPr>
        <w:t>ORDENACIÓN DEL TERRITORIO Y ACCIÓN EXTERIOR</w:t>
      </w:r>
    </w:p>
    <w:p w:rsidR="00BF78EE" w:rsidRPr="00640880" w:rsidRDefault="00BF78EE" w:rsidP="00BF78EE">
      <w:pPr>
        <w:jc w:val="center"/>
        <w:rPr>
          <w:sz w:val="22"/>
          <w:szCs w:val="22"/>
        </w:rPr>
      </w:pPr>
    </w:p>
    <w:p w:rsidR="00BF78EE" w:rsidRPr="00640880" w:rsidRDefault="00BF78EE" w:rsidP="00BF78EE">
      <w:pPr>
        <w:jc w:val="center"/>
        <w:rPr>
          <w:sz w:val="22"/>
          <w:szCs w:val="22"/>
        </w:rPr>
      </w:pPr>
      <w:r w:rsidRPr="00640880">
        <w:rPr>
          <w:sz w:val="22"/>
          <w:szCs w:val="22"/>
        </w:rPr>
        <w:t>P.S. EL SECRETARIO GENERAL DE LA CONSEJERÍA DE LA PRESIDENCIA</w:t>
      </w:r>
    </w:p>
    <w:p w:rsidR="00BF78EE" w:rsidRPr="00640880" w:rsidRDefault="00BF78EE" w:rsidP="00BF78EE">
      <w:pPr>
        <w:jc w:val="center"/>
        <w:rPr>
          <w:sz w:val="22"/>
          <w:szCs w:val="22"/>
        </w:rPr>
      </w:pPr>
      <w:r w:rsidRPr="00640880">
        <w:rPr>
          <w:sz w:val="22"/>
          <w:szCs w:val="22"/>
        </w:rPr>
        <w:t>(Orden TRA/1627/2021, de 23 de diciembre)</w:t>
      </w:r>
    </w:p>
    <w:p w:rsidR="00BF78EE" w:rsidRPr="00640880" w:rsidRDefault="00BF78EE" w:rsidP="00BF78EE">
      <w:pPr>
        <w:jc w:val="center"/>
        <w:rPr>
          <w:sz w:val="22"/>
          <w:szCs w:val="22"/>
        </w:rPr>
      </w:pPr>
    </w:p>
    <w:p w:rsidR="00BF78EE" w:rsidRPr="00640880" w:rsidRDefault="00BF78EE" w:rsidP="00BF78EE">
      <w:pPr>
        <w:jc w:val="center"/>
        <w:rPr>
          <w:sz w:val="22"/>
          <w:szCs w:val="22"/>
        </w:rPr>
      </w:pPr>
      <w:r w:rsidRPr="00640880">
        <w:rPr>
          <w:sz w:val="22"/>
          <w:szCs w:val="22"/>
        </w:rPr>
        <w:t>Santiago Fernández Martín</w:t>
      </w:r>
    </w:p>
    <w:p w:rsidR="005752B7" w:rsidRDefault="005752B7" w:rsidP="005752B7">
      <w:pPr>
        <w:pStyle w:val="Sangradetextonormal"/>
        <w:rPr>
          <w:rFonts w:ascii="Arial" w:eastAsia="PMingLiU" w:hAnsi="Arial" w:cs="Arial"/>
          <w:szCs w:val="22"/>
        </w:rPr>
      </w:pPr>
    </w:p>
    <w:p w:rsidR="005752B7" w:rsidRDefault="005752B7" w:rsidP="005752B7">
      <w:pPr>
        <w:pStyle w:val="Sangradetextonormal"/>
        <w:rPr>
          <w:rFonts w:ascii="Arial" w:eastAsia="PMingLiU" w:hAnsi="Arial" w:cs="Arial"/>
          <w:szCs w:val="22"/>
        </w:rPr>
      </w:pPr>
    </w:p>
    <w:p w:rsidR="005752B7" w:rsidRDefault="005752B7" w:rsidP="005752B7">
      <w:pPr>
        <w:pStyle w:val="Sangradetextonormal"/>
        <w:rPr>
          <w:rFonts w:ascii="Arial" w:eastAsia="PMingLiU" w:hAnsi="Arial" w:cs="Arial"/>
          <w:szCs w:val="22"/>
        </w:rPr>
      </w:pPr>
    </w:p>
    <w:p w:rsidR="005752B7" w:rsidRDefault="005752B7" w:rsidP="005752B7">
      <w:pPr>
        <w:pStyle w:val="Sangradetextonormal"/>
        <w:rPr>
          <w:rFonts w:ascii="Arial" w:eastAsia="PMingLiU" w:hAnsi="Arial" w:cs="Arial"/>
          <w:szCs w:val="22"/>
        </w:rPr>
      </w:pPr>
    </w:p>
    <w:p w:rsidR="00661F69" w:rsidRDefault="00661F69" w:rsidP="005752B7">
      <w:pPr>
        <w:pStyle w:val="Sangradetextonormal"/>
        <w:rPr>
          <w:rFonts w:ascii="Arial" w:eastAsia="PMingLiU" w:hAnsi="Arial" w:cs="Arial"/>
          <w:szCs w:val="22"/>
        </w:rPr>
      </w:pPr>
    </w:p>
    <w:p w:rsidR="005752B7" w:rsidRDefault="005752B7" w:rsidP="005752B7">
      <w:pPr>
        <w:pStyle w:val="Sangradetextonormal"/>
        <w:rPr>
          <w:rFonts w:ascii="Arial" w:eastAsia="PMingLiU" w:hAnsi="Arial" w:cs="Arial"/>
          <w:szCs w:val="22"/>
        </w:rPr>
      </w:pPr>
    </w:p>
    <w:p w:rsidR="00BF78EE" w:rsidRPr="00475568" w:rsidRDefault="00BF78EE" w:rsidP="005752B7">
      <w:pPr>
        <w:pStyle w:val="Sangradetextonormal"/>
        <w:rPr>
          <w:rFonts w:ascii="Arial" w:eastAsia="PMingLiU" w:hAnsi="Arial" w:cs="Arial"/>
          <w:szCs w:val="22"/>
        </w:rPr>
      </w:pPr>
    </w:p>
    <w:p w:rsidR="00232106" w:rsidRPr="006A4288" w:rsidRDefault="005752B7" w:rsidP="006A4288">
      <w:pPr>
        <w:pStyle w:val="Sangradetextonormal"/>
        <w:rPr>
          <w:rFonts w:ascii="Arial" w:eastAsia="PMingLiU" w:hAnsi="Arial" w:cs="Arial"/>
          <w:szCs w:val="22"/>
        </w:rPr>
      </w:pPr>
      <w:r>
        <w:rPr>
          <w:rFonts w:ascii="Arial" w:eastAsia="PMingLiU" w:hAnsi="Arial" w:cs="Arial"/>
          <w:szCs w:val="22"/>
        </w:rPr>
        <w:t xml:space="preserve">ILMO. SR. SECRETARIO GENERAL DE LA CONSEJERÍA DE AGRICULTURA, GANADERÍA Y DESARROLLO RURAL- JUNTA DE CASTILLA Y LEÓN.- </w:t>
      </w:r>
      <w:r w:rsidRPr="00A91C30">
        <w:rPr>
          <w:rFonts w:ascii="Arial" w:eastAsia="PMingLiU" w:hAnsi="Arial" w:cs="Arial"/>
          <w:b/>
          <w:szCs w:val="22"/>
        </w:rPr>
        <w:t>VALLADOLID</w:t>
      </w:r>
      <w:r>
        <w:rPr>
          <w:rFonts w:ascii="Arial" w:eastAsia="PMingLiU" w:hAnsi="Arial" w:cs="Arial"/>
          <w:szCs w:val="22"/>
        </w:rPr>
        <w:t>.-</w:t>
      </w:r>
    </w:p>
    <w:sectPr w:rsidR="00232106" w:rsidRPr="006A4288" w:rsidSect="000C450B">
      <w:headerReference w:type="default" r:id="rId7"/>
      <w:footerReference w:type="default" r:id="rId8"/>
      <w:pgSz w:w="11906" w:h="16838" w:code="9"/>
      <w:pgMar w:top="3403" w:right="1274" w:bottom="1418" w:left="1701" w:header="89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F7" w:rsidRDefault="00661F69">
      <w:r>
        <w:separator/>
      </w:r>
    </w:p>
  </w:endnote>
  <w:endnote w:type="continuationSeparator" w:id="0">
    <w:p w:rsidR="000E2EF7" w:rsidRDefault="0066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1B" w:rsidRPr="00996F41" w:rsidRDefault="005752B7" w:rsidP="0047241B">
    <w:pPr>
      <w:pStyle w:val="Piedepgina"/>
      <w:jc w:val="center"/>
      <w:rPr>
        <w:rFonts w:ascii="Trebuchet MS" w:hAnsi="Trebuchet MS"/>
        <w:sz w:val="14"/>
        <w:szCs w:val="14"/>
      </w:rPr>
    </w:pPr>
    <w:r w:rsidRPr="00996F41">
      <w:rPr>
        <w:rFonts w:ascii="Trebuchet MS" w:hAnsi="Trebuchet MS"/>
        <w:noProof/>
        <w:sz w:val="14"/>
        <w:szCs w:val="14"/>
        <w:lang w:val="es-ES"/>
      </w:rPr>
      <mc:AlternateContent>
        <mc:Choice Requires="wps">
          <w:drawing>
            <wp:anchor distT="0" distB="0" distL="114300" distR="114300" simplePos="0" relativeHeight="251659264" behindDoc="0" locked="0" layoutInCell="1" allowOverlap="1">
              <wp:simplePos x="0" y="0"/>
              <wp:positionH relativeFrom="column">
                <wp:posOffset>-789305</wp:posOffset>
              </wp:positionH>
              <wp:positionV relativeFrom="paragraph">
                <wp:posOffset>25400</wp:posOffset>
              </wp:positionV>
              <wp:extent cx="6832600" cy="0"/>
              <wp:effectExtent l="10795" t="6350" r="5080" b="1270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3175">
                        <a:solidFill>
                          <a:srgbClr val="000000">
                            <a:alpha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C30C"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2pt" to="475.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BzJAIAAFMEAAAOAAAAZHJzL2Uyb0RvYy54bWysVMGO2jAQvVfqP1i+QxLIUjYirKoEetm2&#10;SLv9AGM7xKpjW7YhoKr/3rFD0NJeqqocnPF4/ObNzDOrp3Mn0YlbJ7QqcTZNMeKKaibUocTfXreT&#10;JUbOE8WI1IqX+MIdflq/f7fqTcFnutWScYsARLmiNyVuvTdFkjja8o64qTZcwWGjbUc8bO0hYZb0&#10;gN7JZJami6TXlhmrKXcOvPVwiNcRv2k49V+bxnGPZImBm4+rjes+rMl6RYqDJaYV9EqD/AOLjggF&#10;SW9QNfEEHa34A6oT1GqnGz+lukt00wjKYw1QTZb+Vs1LSwyPtUBznLm1yf0/WPrltLNIsBLPMFKk&#10;gxFVMCjqtUU2fNAs9Kg3roDQSu1sqJKe1Yt51vS7Q0pXLVEHHrm+XgwAZOFGcnclbJyBTPv+s2YQ&#10;Q45ex4adG9sFSGgFOse5XG5z4WePKDgXy/lskcL46HiWkGK8aKzzn7juUDBKLIUKLSMFOT07H4iQ&#10;YgwJbqW3Qso4dqlQX+J59uEhXnBaChYOQ5izh30lLTqRIJz4G1ClacngfQjeWOotPGa7w7H6qFjM&#10;1nLCNlfbEyEHG9hJFRJCrcD3ag3S+fGYPm6Wm2U+yWeLzSRP63rycVvlk8UWONfzuqrq7GegleVF&#10;KxjjKtAfZZzlfyeT64MaBHgT8q1PyT16LBHIjt9IOg47zHdQyl6zy86OIgDlxuDrKwtP4+0e7Lf/&#10;BetfAAAA//8DAFBLAwQUAAYACAAAACEAoH4XtuAAAAAIAQAADwAAAGRycy9kb3ducmV2LnhtbEyP&#10;wU7DMBBE70j8g7VIXFDrpC0BQpwKIXGAlkNbhMLNjZckaryOYjcNf8/CBY6jfZp9ky1H24oBe984&#10;UhBPIxBIpTMNVQredk+TWxA+aDK6dYQKvtDDMj8/y3Rq3Ik2OGxDJbiEfKoV1CF0qZS+rNFqP3Ud&#10;Et8+XW914NhX0vT6xOW2lbMoSqTVDfGHWnf4WGN52B6tgvnL+qp4fS5WSVKsw8fhfYjKVip1eTE+&#10;3IMIOIY/GH70WR1ydtq7IxkvWgWTeLaYM6tgwZsYuLuOb0Dsf7PMM/l/QP4NAAD//wMAUEsBAi0A&#10;FAAGAAgAAAAhALaDOJL+AAAA4QEAABMAAAAAAAAAAAAAAAAAAAAAAFtDb250ZW50X1R5cGVzXS54&#10;bWxQSwECLQAUAAYACAAAACEAOP0h/9YAAACUAQAACwAAAAAAAAAAAAAAAAAvAQAAX3JlbHMvLnJl&#10;bHNQSwECLQAUAAYACAAAACEAERJgcyQCAABTBAAADgAAAAAAAAAAAAAAAAAuAgAAZHJzL2Uyb0Rv&#10;Yy54bWxQSwECLQAUAAYACAAAACEAoH4XtuAAAAAIAQAADwAAAAAAAAAAAAAAAAB+BAAAZHJzL2Rv&#10;d25yZXYueG1sUEsFBgAAAAAEAAQA8wAAAIsFAAAAAA==&#10;" strokeweight=".25pt">
              <v:stroke opacity="32896f"/>
            </v:line>
          </w:pict>
        </mc:Fallback>
      </mc:AlternateContent>
    </w:r>
  </w:p>
  <w:p w:rsidR="006419AD" w:rsidRPr="0047241B" w:rsidRDefault="005752B7" w:rsidP="0047241B">
    <w:pPr>
      <w:pStyle w:val="Piedepgina"/>
      <w:jc w:val="center"/>
      <w:rPr>
        <w:rFonts w:ascii="Trebuchet MS" w:hAnsi="Trebuchet MS"/>
        <w:sz w:val="14"/>
        <w:szCs w:val="14"/>
      </w:rPr>
    </w:pPr>
    <w:r>
      <w:rPr>
        <w:rFonts w:ascii="Trebuchet MS" w:hAnsi="Trebuchet MS"/>
        <w:noProof/>
        <w:sz w:val="14"/>
        <w:szCs w:val="14"/>
        <w:lang w:val="es-ES"/>
      </w:rPr>
      <mc:AlternateContent>
        <mc:Choice Requires="wps">
          <w:drawing>
            <wp:anchor distT="0" distB="0" distL="114300" distR="114300" simplePos="0" relativeHeight="251660288" behindDoc="0" locked="0" layoutInCell="1" allowOverlap="1">
              <wp:simplePos x="0" y="0"/>
              <wp:positionH relativeFrom="column">
                <wp:posOffset>-788035</wp:posOffset>
              </wp:positionH>
              <wp:positionV relativeFrom="paragraph">
                <wp:posOffset>161290</wp:posOffset>
              </wp:positionV>
              <wp:extent cx="6867525" cy="0"/>
              <wp:effectExtent l="12065" t="8890" r="6985" b="1016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3175">
                        <a:solidFill>
                          <a:srgbClr val="000000">
                            <a:alpha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F2D41"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2.7pt" to="478.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9nJwIAAFMEAAAOAAAAZHJzL2Uyb0RvYy54bWysVM2O2yAQvlfqOyDuie2sk81acVaVnfSy&#10;bSPt9gEI4BgVAwISJ6r67h2wk+62l6qqDzAMM99884NXj+dOohO3TmhV4myaYsQV1UyoQ4m/vmwn&#10;S4ycJ4oRqRUv8YU7/Lh+/27Vm4LPdKsl4xYBiHJFb0rcem+KJHG05R1xU224gstG2454ONpDwizp&#10;Ab2TySxNF0mvLTNWU+4caOvhEq8jftNw6r80jeMeyRIDNx9XG9d9WJP1ihQHS0wr6EiD/AOLjggF&#10;QW9QNfEEHa34A6oT1GqnGz+lukt00wjKYw6QTZb+ls1zSwyPuUBxnLmVyf0/WPr5tLNIMOgdRop0&#10;0KIKGkW9tsiGDWWhRr1xBZhWamdDlvSsns2Tpt8cUrpqiTrwyPXlYgAgeiRvXMLBGYi07z9pBjbk&#10;6HUs2LmxXYCEUqBz7Mvl1hd+9oiCcrFc3M9nc4zo9S4hxdXRWOc/ct2hIJRYChVKRgpyenIeqIPp&#10;1SSold4KKWPbpUJ9ie+y+3l0cFoKFi6DmbOHfSUtOpEwOPEbUKVpyaCdB20oDkQYzQf5NY7VR8Vi&#10;tJYTthllT4QcZPCVKgSEXIHvKA2j8/0hfdgsN8t8ks8Wm0me1vXkw7bKJ4stcK7v6qqqsx+BVpYX&#10;rWCMq0D/OsZZ/ndjMj6oYQBvg3yrU/IWPaYIZK97JB2bHfo7TMpes8vOhsqEvsPkRuPxlYWn8foc&#10;rX79C9Y/AQAA//8DAFBLAwQUAAYACAAAACEAxW3ONuEAAAAKAQAADwAAAGRycy9kb3ducmV2Lnht&#10;bEyPTU+DQBCG7yb+h82YeDHtAraoyNIYEw/aerAag7ctOwIpO0vYLcV/7xgPepuPJ+88k68m24kR&#10;B986UhDPIxBIlTMt1QreXh9m1yB80GR05wgVfKGHVXF6kuvMuCO94LgNteAQ8plW0ITQZ1L6qkGr&#10;/dz1SLz7dIPVgduhlmbQRw63nUyiKJVWt8QXGt3jfYPVfnuwCi6fNhfl82O5TtNyEz7272NUdVKp&#10;87Pp7hZEwCn8wfCjz+pQsNPOHch40SmYxckiZlZBslyAYOJmecXF7ncgi1z+f6H4BgAA//8DAFBL&#10;AQItABQABgAIAAAAIQC2gziS/gAAAOEBAAATAAAAAAAAAAAAAAAAAAAAAABbQ29udGVudF9UeXBl&#10;c10ueG1sUEsBAi0AFAAGAAgAAAAhADj9If/WAAAAlAEAAAsAAAAAAAAAAAAAAAAALwEAAF9yZWxz&#10;Ly5yZWxzUEsBAi0AFAAGAAgAAAAhAGLwz2cnAgAAUwQAAA4AAAAAAAAAAAAAAAAALgIAAGRycy9l&#10;Mm9Eb2MueG1sUEsBAi0AFAAGAAgAAAAhAMVtzjbhAAAACgEAAA8AAAAAAAAAAAAAAAAAgQQAAGRy&#10;cy9kb3ducmV2LnhtbFBLBQYAAAAABAAEAPMAAACPBQAAAAA=&#10;" strokeweight=".25pt">
              <v:stroke opacity="32896f"/>
            </v:line>
          </w:pict>
        </mc:Fallback>
      </mc:AlternateContent>
    </w:r>
    <w:r w:rsidR="00BA04C3">
      <w:rPr>
        <w:rFonts w:ascii="Trebuchet MS" w:hAnsi="Trebuchet MS"/>
        <w:sz w:val="14"/>
        <w:szCs w:val="14"/>
      </w:rPr>
      <w:t>C/ Santiago Alba, 1. 47008 VALLADOLID – TLF: 983 411 100 - www.jcyl.es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F7" w:rsidRDefault="00661F69">
      <w:r>
        <w:separator/>
      </w:r>
    </w:p>
  </w:footnote>
  <w:footnote w:type="continuationSeparator" w:id="0">
    <w:p w:rsidR="000E2EF7" w:rsidRDefault="00661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F2" w:rsidRPr="00BE105E" w:rsidRDefault="0084452C" w:rsidP="006D0427">
    <w:pPr>
      <w:pStyle w:val="Encabezado"/>
      <w:tabs>
        <w:tab w:val="left" w:pos="993"/>
      </w:tabs>
      <w:ind w:left="142"/>
      <w:rPr>
        <w:rFonts w:ascii="Trebuchet MS" w:hAnsi="Trebuchet MS"/>
        <w:sz w:val="6"/>
        <w:szCs w:val="6"/>
      </w:rPr>
    </w:pPr>
  </w:p>
  <w:p w:rsidR="00831DF2" w:rsidRPr="00BE105E" w:rsidRDefault="0084452C" w:rsidP="006D0427">
    <w:pPr>
      <w:pStyle w:val="Encabezado"/>
      <w:tabs>
        <w:tab w:val="left" w:pos="993"/>
      </w:tabs>
      <w:ind w:left="142"/>
      <w:rPr>
        <w:rFonts w:ascii="Trebuchet MS" w:hAnsi="Trebuchet MS"/>
        <w:sz w:val="6"/>
        <w:szCs w:val="6"/>
      </w:rPr>
    </w:pPr>
  </w:p>
  <w:p w:rsidR="00BE105E" w:rsidRDefault="0084452C" w:rsidP="00BE105E">
    <w:pPr>
      <w:pStyle w:val="Encabezado"/>
      <w:tabs>
        <w:tab w:val="clear" w:pos="4252"/>
        <w:tab w:val="clear" w:pos="8504"/>
        <w:tab w:val="left" w:pos="6045"/>
      </w:tabs>
      <w:ind w:left="142"/>
      <w:rPr>
        <w:rFonts w:ascii="Trebuchet MS" w:hAnsi="Trebuchet MS"/>
        <w:sz w:val="6"/>
        <w:szCs w:val="6"/>
      </w:rPr>
    </w:pPr>
  </w:p>
  <w:p w:rsidR="00BE105E" w:rsidRDefault="005752B7" w:rsidP="00BE105E">
    <w:pPr>
      <w:pStyle w:val="Encabezado"/>
      <w:tabs>
        <w:tab w:val="clear" w:pos="4252"/>
        <w:tab w:val="clear" w:pos="8504"/>
        <w:tab w:val="left" w:pos="6045"/>
      </w:tabs>
      <w:ind w:left="142"/>
      <w:rPr>
        <w:rFonts w:ascii="Trebuchet MS" w:hAnsi="Trebuchet MS"/>
        <w:sz w:val="6"/>
        <w:szCs w:val="6"/>
      </w:rPr>
    </w:pPr>
    <w:r>
      <w:rPr>
        <w:noProof/>
        <w:lang w:val="es-ES"/>
      </w:rPr>
      <w:drawing>
        <wp:anchor distT="0" distB="0" distL="114300" distR="114300" simplePos="0" relativeHeight="251661312" behindDoc="0" locked="0" layoutInCell="1" allowOverlap="1">
          <wp:simplePos x="0" y="0"/>
          <wp:positionH relativeFrom="column">
            <wp:posOffset>-380365</wp:posOffset>
          </wp:positionH>
          <wp:positionV relativeFrom="paragraph">
            <wp:posOffset>60325</wp:posOffset>
          </wp:positionV>
          <wp:extent cx="1619885" cy="5924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05E" w:rsidRDefault="0084452C" w:rsidP="00BE105E">
    <w:pPr>
      <w:pStyle w:val="Encabezado"/>
      <w:tabs>
        <w:tab w:val="clear" w:pos="4252"/>
        <w:tab w:val="clear" w:pos="8504"/>
        <w:tab w:val="left" w:pos="6045"/>
      </w:tabs>
      <w:ind w:left="142"/>
      <w:rPr>
        <w:rFonts w:ascii="Trebuchet MS" w:hAnsi="Trebuchet MS"/>
        <w:sz w:val="6"/>
        <w:szCs w:val="6"/>
      </w:rPr>
    </w:pPr>
  </w:p>
  <w:p w:rsidR="00BE105E" w:rsidRDefault="0084452C" w:rsidP="00BE105E">
    <w:pPr>
      <w:pStyle w:val="Encabezado"/>
      <w:tabs>
        <w:tab w:val="clear" w:pos="4252"/>
        <w:tab w:val="clear" w:pos="8504"/>
        <w:tab w:val="left" w:pos="6045"/>
      </w:tabs>
      <w:ind w:left="142"/>
      <w:rPr>
        <w:rFonts w:ascii="Trebuchet MS" w:hAnsi="Trebuchet MS"/>
        <w:sz w:val="6"/>
        <w:szCs w:val="6"/>
      </w:rPr>
    </w:pPr>
  </w:p>
  <w:p w:rsidR="00BE105E" w:rsidRDefault="0084452C" w:rsidP="00BE105E">
    <w:pPr>
      <w:pStyle w:val="Encabezado"/>
      <w:tabs>
        <w:tab w:val="clear" w:pos="4252"/>
        <w:tab w:val="clear" w:pos="8504"/>
        <w:tab w:val="left" w:pos="6045"/>
      </w:tabs>
      <w:ind w:left="142"/>
      <w:rPr>
        <w:rFonts w:ascii="Trebuchet MS" w:hAnsi="Trebuchet MS"/>
        <w:sz w:val="6"/>
        <w:szCs w:val="6"/>
      </w:rPr>
    </w:pPr>
  </w:p>
  <w:p w:rsidR="00BE105E" w:rsidRDefault="0084452C" w:rsidP="00BE105E">
    <w:pPr>
      <w:pStyle w:val="Encabezado"/>
      <w:tabs>
        <w:tab w:val="clear" w:pos="4252"/>
        <w:tab w:val="clear" w:pos="8504"/>
        <w:tab w:val="left" w:pos="6045"/>
      </w:tabs>
      <w:ind w:left="142"/>
      <w:rPr>
        <w:rFonts w:ascii="Trebuchet MS" w:hAnsi="Trebuchet MS"/>
        <w:sz w:val="6"/>
        <w:szCs w:val="6"/>
      </w:rPr>
    </w:pPr>
  </w:p>
  <w:p w:rsidR="00831DF2" w:rsidRPr="00BE105E" w:rsidRDefault="00BA04C3" w:rsidP="00BE105E">
    <w:pPr>
      <w:pStyle w:val="Encabezado"/>
      <w:tabs>
        <w:tab w:val="clear" w:pos="4252"/>
        <w:tab w:val="clear" w:pos="8504"/>
        <w:tab w:val="left" w:pos="6045"/>
      </w:tabs>
      <w:ind w:left="142"/>
      <w:rPr>
        <w:rFonts w:ascii="Trebuchet MS" w:hAnsi="Trebuchet MS"/>
        <w:sz w:val="6"/>
        <w:szCs w:val="6"/>
      </w:rPr>
    </w:pPr>
    <w:r w:rsidRPr="00BE105E">
      <w:rPr>
        <w:rFonts w:ascii="Trebuchet MS" w:hAnsi="Trebuchet MS"/>
        <w:sz w:val="6"/>
        <w:szCs w:val="6"/>
      </w:rPr>
      <w:tab/>
    </w:r>
  </w:p>
  <w:p w:rsidR="00BE105E" w:rsidRPr="00BE105E" w:rsidRDefault="0084452C" w:rsidP="00BE105E">
    <w:pPr>
      <w:pStyle w:val="Encabezado"/>
      <w:tabs>
        <w:tab w:val="clear" w:pos="4252"/>
        <w:tab w:val="clear" w:pos="8504"/>
        <w:tab w:val="left" w:pos="6045"/>
      </w:tabs>
      <w:ind w:left="142"/>
      <w:rPr>
        <w:rFonts w:ascii="Trebuchet MS" w:hAnsi="Trebuchet MS"/>
        <w:sz w:val="6"/>
        <w:szCs w:val="6"/>
      </w:rPr>
    </w:pPr>
  </w:p>
  <w:p w:rsidR="00BE105E" w:rsidRPr="00BE105E" w:rsidRDefault="0084452C" w:rsidP="00BE105E">
    <w:pPr>
      <w:pStyle w:val="Encabezado"/>
      <w:tabs>
        <w:tab w:val="left" w:pos="993"/>
      </w:tabs>
      <w:ind w:left="142"/>
      <w:rPr>
        <w:rFonts w:ascii="Trebuchet MS" w:hAnsi="Trebuchet MS"/>
        <w:sz w:val="6"/>
        <w:szCs w:val="6"/>
      </w:rPr>
    </w:pPr>
  </w:p>
  <w:p w:rsidR="00831DF2" w:rsidRPr="00BE105E" w:rsidRDefault="0084452C" w:rsidP="00BE105E">
    <w:pPr>
      <w:pStyle w:val="Encabezado"/>
      <w:tabs>
        <w:tab w:val="left" w:pos="993"/>
      </w:tabs>
      <w:rPr>
        <w:rFonts w:ascii="Trebuchet MS" w:hAnsi="Trebuchet MS"/>
        <w:sz w:val="6"/>
        <w:szCs w:val="6"/>
      </w:rPr>
    </w:pPr>
  </w:p>
  <w:p w:rsidR="00831DF2" w:rsidRDefault="0084452C" w:rsidP="00BE105E">
    <w:pPr>
      <w:pStyle w:val="Encabezado"/>
      <w:tabs>
        <w:tab w:val="left" w:pos="993"/>
      </w:tabs>
      <w:rPr>
        <w:rFonts w:ascii="Trebuchet MS" w:hAnsi="Trebuchet MS"/>
        <w:sz w:val="6"/>
        <w:szCs w:val="6"/>
      </w:rPr>
    </w:pPr>
  </w:p>
  <w:p w:rsidR="00BE105E" w:rsidRDefault="0084452C" w:rsidP="00BE105E">
    <w:pPr>
      <w:pStyle w:val="Encabezado"/>
      <w:tabs>
        <w:tab w:val="left" w:pos="993"/>
      </w:tabs>
      <w:rPr>
        <w:rFonts w:ascii="Trebuchet MS" w:hAnsi="Trebuchet MS"/>
        <w:sz w:val="6"/>
        <w:szCs w:val="6"/>
      </w:rPr>
    </w:pPr>
  </w:p>
  <w:p w:rsidR="00833FAA" w:rsidRDefault="0084452C" w:rsidP="00833FAA">
    <w:pPr>
      <w:pStyle w:val="Encabezado"/>
      <w:tabs>
        <w:tab w:val="clear" w:pos="4252"/>
        <w:tab w:val="clear" w:pos="8504"/>
        <w:tab w:val="left" w:pos="993"/>
        <w:tab w:val="left" w:pos="3808"/>
      </w:tabs>
      <w:rPr>
        <w:rFonts w:ascii="Trebuchet MS" w:hAnsi="Trebuchet MS"/>
        <w:sz w:val="6"/>
        <w:szCs w:val="6"/>
      </w:rPr>
    </w:pPr>
  </w:p>
  <w:p w:rsidR="00833FAA" w:rsidRDefault="0084452C" w:rsidP="00833FAA">
    <w:pPr>
      <w:pStyle w:val="Encabezado"/>
      <w:tabs>
        <w:tab w:val="clear" w:pos="4252"/>
        <w:tab w:val="clear" w:pos="8504"/>
        <w:tab w:val="left" w:pos="993"/>
        <w:tab w:val="left" w:pos="3808"/>
      </w:tabs>
      <w:rPr>
        <w:rFonts w:ascii="Trebuchet MS" w:hAnsi="Trebuchet MS"/>
        <w:sz w:val="6"/>
        <w:szCs w:val="6"/>
      </w:rPr>
    </w:pPr>
  </w:p>
  <w:p w:rsidR="00833FAA" w:rsidRDefault="0084452C" w:rsidP="00833FAA">
    <w:pPr>
      <w:pStyle w:val="Encabezado"/>
      <w:tabs>
        <w:tab w:val="clear" w:pos="4252"/>
        <w:tab w:val="clear" w:pos="8504"/>
        <w:tab w:val="left" w:pos="993"/>
        <w:tab w:val="left" w:pos="3808"/>
      </w:tabs>
      <w:rPr>
        <w:rFonts w:ascii="Trebuchet MS" w:hAnsi="Trebuchet MS"/>
        <w:sz w:val="6"/>
        <w:szCs w:val="6"/>
      </w:rPr>
    </w:pPr>
  </w:p>
  <w:p w:rsidR="00B2615A" w:rsidRDefault="0084452C" w:rsidP="00DD32E3">
    <w:pPr>
      <w:pStyle w:val="Encabezado"/>
      <w:tabs>
        <w:tab w:val="clear" w:pos="4252"/>
        <w:tab w:val="clear" w:pos="8504"/>
        <w:tab w:val="left" w:pos="993"/>
        <w:tab w:val="left" w:pos="3808"/>
      </w:tabs>
      <w:rPr>
        <w:rFonts w:ascii="Trebuchet MS" w:hAnsi="Trebuchet MS"/>
        <w:sz w:val="4"/>
        <w:szCs w:val="4"/>
      </w:rPr>
    </w:pPr>
  </w:p>
  <w:p w:rsidR="00B2615A" w:rsidRPr="00B2615A" w:rsidRDefault="0084452C" w:rsidP="00DD32E3">
    <w:pPr>
      <w:pStyle w:val="Encabezado"/>
      <w:tabs>
        <w:tab w:val="clear" w:pos="4252"/>
        <w:tab w:val="clear" w:pos="8504"/>
        <w:tab w:val="left" w:pos="993"/>
        <w:tab w:val="left" w:pos="3808"/>
      </w:tabs>
      <w:rPr>
        <w:rFonts w:ascii="Trebuchet MS" w:hAnsi="Trebuchet MS"/>
        <w:sz w:val="4"/>
        <w:szCs w:val="4"/>
      </w:rPr>
    </w:pPr>
  </w:p>
  <w:p w:rsidR="00426DFD" w:rsidRDefault="00BA04C3" w:rsidP="00DD32E3">
    <w:pPr>
      <w:pStyle w:val="Encabezado"/>
      <w:tabs>
        <w:tab w:val="clear" w:pos="4252"/>
        <w:tab w:val="clear" w:pos="8504"/>
        <w:tab w:val="left" w:pos="993"/>
        <w:tab w:val="left" w:pos="3808"/>
      </w:tabs>
      <w:rPr>
        <w:rFonts w:ascii="Trebuchet MS" w:hAnsi="Trebuchet MS"/>
        <w:sz w:val="18"/>
        <w:szCs w:val="18"/>
      </w:rPr>
    </w:pPr>
    <w:r>
      <w:rPr>
        <w:rFonts w:ascii="Trebuchet MS" w:hAnsi="Trebuchet MS"/>
        <w:sz w:val="18"/>
        <w:szCs w:val="18"/>
      </w:rPr>
      <w:t>Consejería de Transparencia,</w:t>
    </w:r>
    <w:r>
      <w:rPr>
        <w:rFonts w:ascii="Trebuchet MS" w:hAnsi="Trebuchet MS"/>
        <w:sz w:val="18"/>
        <w:szCs w:val="18"/>
      </w:rPr>
      <w:tab/>
    </w:r>
  </w:p>
  <w:p w:rsidR="00426DFD" w:rsidRDefault="00BA04C3" w:rsidP="00DD32E3">
    <w:pPr>
      <w:pStyle w:val="Encabezado"/>
      <w:tabs>
        <w:tab w:val="left" w:pos="993"/>
      </w:tabs>
      <w:rPr>
        <w:rFonts w:ascii="Trebuchet MS" w:hAnsi="Trebuchet MS"/>
        <w:sz w:val="18"/>
        <w:szCs w:val="18"/>
      </w:rPr>
    </w:pPr>
    <w:r>
      <w:rPr>
        <w:rFonts w:ascii="Trebuchet MS" w:hAnsi="Trebuchet MS"/>
        <w:sz w:val="18"/>
        <w:szCs w:val="18"/>
      </w:rPr>
      <w:t>Ordenación del Territorio</w:t>
    </w:r>
  </w:p>
  <w:p w:rsidR="00426DFD" w:rsidRDefault="00BA04C3" w:rsidP="00DD32E3">
    <w:pPr>
      <w:pStyle w:val="Encabezado"/>
      <w:tabs>
        <w:tab w:val="left" w:pos="993"/>
      </w:tabs>
      <w:rPr>
        <w:rFonts w:ascii="Trebuchet MS" w:hAnsi="Trebuchet MS"/>
        <w:sz w:val="18"/>
        <w:szCs w:val="18"/>
      </w:rPr>
    </w:pPr>
    <w:proofErr w:type="gramStart"/>
    <w:r>
      <w:rPr>
        <w:rFonts w:ascii="Trebuchet MS" w:hAnsi="Trebuchet MS"/>
        <w:sz w:val="18"/>
        <w:szCs w:val="18"/>
      </w:rPr>
      <w:t>y</w:t>
    </w:r>
    <w:proofErr w:type="gramEnd"/>
    <w:r>
      <w:rPr>
        <w:rFonts w:ascii="Trebuchet MS" w:hAnsi="Trebuchet MS"/>
        <w:sz w:val="18"/>
        <w:szCs w:val="18"/>
      </w:rPr>
      <w:t xml:space="preserve"> Acción Exterior</w:t>
    </w:r>
  </w:p>
  <w:p w:rsidR="00426DFD" w:rsidRPr="00426DFD" w:rsidRDefault="00BA04C3" w:rsidP="00DD32E3">
    <w:pPr>
      <w:pStyle w:val="Encabezado"/>
      <w:tabs>
        <w:tab w:val="clear" w:pos="4252"/>
        <w:tab w:val="clear" w:pos="8504"/>
        <w:tab w:val="left" w:pos="708"/>
        <w:tab w:val="left" w:pos="1416"/>
        <w:tab w:val="left" w:pos="2124"/>
        <w:tab w:val="left" w:pos="2832"/>
        <w:tab w:val="left" w:pos="3540"/>
      </w:tabs>
      <w:rPr>
        <w:rFonts w:ascii="Trebuchet MS" w:hAnsi="Trebuchet MS"/>
        <w:sz w:val="4"/>
        <w:szCs w:val="4"/>
      </w:rPr>
    </w:pPr>
    <w:r>
      <w:rPr>
        <w:rFonts w:ascii="Trebuchet MS" w:hAnsi="Trebuchet MS"/>
        <w:sz w:val="4"/>
        <w:szCs w:val="4"/>
      </w:rPr>
      <w:tab/>
    </w:r>
    <w:r>
      <w:rPr>
        <w:rFonts w:ascii="Trebuchet MS" w:hAnsi="Trebuchet MS"/>
        <w:sz w:val="4"/>
        <w:szCs w:val="4"/>
      </w:rPr>
      <w:tab/>
    </w:r>
    <w:r>
      <w:rPr>
        <w:rFonts w:ascii="Trebuchet MS" w:hAnsi="Trebuchet MS"/>
        <w:sz w:val="4"/>
        <w:szCs w:val="4"/>
      </w:rPr>
      <w:tab/>
    </w:r>
    <w:r>
      <w:rPr>
        <w:rFonts w:ascii="Trebuchet MS" w:hAnsi="Trebuchet MS"/>
        <w:sz w:val="4"/>
        <w:szCs w:val="4"/>
      </w:rPr>
      <w:tab/>
    </w:r>
    <w:r>
      <w:rPr>
        <w:rFonts w:ascii="Trebuchet MS" w:hAnsi="Trebuchet MS"/>
        <w:sz w:val="4"/>
        <w:szCs w:val="4"/>
      </w:rPr>
      <w:tab/>
    </w:r>
    <w:r>
      <w:rPr>
        <w:rFonts w:ascii="Trebuchet MS" w:hAnsi="Trebuchet MS"/>
        <w:sz w:val="4"/>
        <w:szCs w:val="4"/>
      </w:rPr>
      <w:tab/>
    </w:r>
  </w:p>
  <w:p w:rsidR="004554AD" w:rsidRPr="00BD0113" w:rsidRDefault="00BA04C3" w:rsidP="00DD32E3">
    <w:pPr>
      <w:pStyle w:val="Encabezado"/>
      <w:tabs>
        <w:tab w:val="left" w:pos="993"/>
      </w:tabs>
      <w:rPr>
        <w:rFonts w:ascii="Trebuchet MS" w:hAnsi="Trebuchet MS"/>
        <w:sz w:val="17"/>
        <w:szCs w:val="17"/>
      </w:rPr>
    </w:pPr>
    <w:r w:rsidRPr="00092773">
      <w:rPr>
        <w:rFonts w:ascii="Trebuchet MS" w:hAnsi="Trebuchet MS"/>
        <w:sz w:val="17"/>
        <w:szCs w:val="17"/>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50E6"/>
    <w:multiLevelType w:val="hybridMultilevel"/>
    <w:tmpl w:val="0F7AFEF4"/>
    <w:lvl w:ilvl="0" w:tplc="059A1E20">
      <w:numFmt w:val="bullet"/>
      <w:lvlText w:val="-"/>
      <w:lvlJc w:val="left"/>
      <w:pPr>
        <w:ind w:left="720" w:hanging="360"/>
      </w:pPr>
      <w:rPr>
        <w:rFonts w:ascii="Arial" w:eastAsia="PMingLiU"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454293C"/>
    <w:multiLevelType w:val="hybridMultilevel"/>
    <w:tmpl w:val="AACCC494"/>
    <w:lvl w:ilvl="0" w:tplc="77F20706">
      <w:start w:val="4"/>
      <w:numFmt w:val="bullet"/>
      <w:lvlText w:val="-"/>
      <w:lvlJc w:val="left"/>
      <w:pPr>
        <w:ind w:left="720" w:hanging="360"/>
      </w:pPr>
      <w:rPr>
        <w:rFonts w:ascii="Arial" w:eastAsia="PMingLiU"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B7"/>
    <w:rsid w:val="000B56E6"/>
    <w:rsid w:val="000E2EF7"/>
    <w:rsid w:val="00232106"/>
    <w:rsid w:val="005752B7"/>
    <w:rsid w:val="00661F69"/>
    <w:rsid w:val="006A4288"/>
    <w:rsid w:val="0084452C"/>
    <w:rsid w:val="00BA04C3"/>
    <w:rsid w:val="00BF78EE"/>
    <w:rsid w:val="00E07B41"/>
    <w:rsid w:val="00EA7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50A9FF1-57AA-4FDA-8A47-E663408F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2B7"/>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52B7"/>
    <w:pPr>
      <w:tabs>
        <w:tab w:val="center" w:pos="4252"/>
        <w:tab w:val="right" w:pos="8504"/>
      </w:tabs>
    </w:pPr>
  </w:style>
  <w:style w:type="character" w:customStyle="1" w:styleId="EncabezadoCar">
    <w:name w:val="Encabezado Car"/>
    <w:basedOn w:val="Fuentedeprrafopredeter"/>
    <w:link w:val="Encabezado"/>
    <w:rsid w:val="005752B7"/>
    <w:rPr>
      <w:rFonts w:ascii="Arial" w:eastAsia="Times New Roman" w:hAnsi="Arial" w:cs="Times New Roman"/>
      <w:sz w:val="20"/>
      <w:szCs w:val="20"/>
      <w:lang w:val="es-ES_tradnl" w:eastAsia="es-ES"/>
    </w:rPr>
  </w:style>
  <w:style w:type="paragraph" w:styleId="Piedepgina">
    <w:name w:val="footer"/>
    <w:basedOn w:val="Normal"/>
    <w:link w:val="PiedepginaCar"/>
    <w:rsid w:val="005752B7"/>
    <w:pPr>
      <w:tabs>
        <w:tab w:val="center" w:pos="4252"/>
        <w:tab w:val="right" w:pos="8504"/>
      </w:tabs>
    </w:pPr>
  </w:style>
  <w:style w:type="character" w:customStyle="1" w:styleId="PiedepginaCar">
    <w:name w:val="Pie de página Car"/>
    <w:basedOn w:val="Fuentedeprrafopredeter"/>
    <w:link w:val="Piedepgina"/>
    <w:rsid w:val="005752B7"/>
    <w:rPr>
      <w:rFonts w:ascii="Arial" w:eastAsia="Times New Roman" w:hAnsi="Arial" w:cs="Times New Roman"/>
      <w:sz w:val="20"/>
      <w:szCs w:val="20"/>
      <w:lang w:val="es-ES_tradnl" w:eastAsia="es-ES"/>
    </w:rPr>
  </w:style>
  <w:style w:type="paragraph" w:styleId="Sangradetextonormal">
    <w:name w:val="Body Text Indent"/>
    <w:basedOn w:val="Normal"/>
    <w:link w:val="SangradetextonormalCar"/>
    <w:rsid w:val="005752B7"/>
    <w:pPr>
      <w:jc w:val="both"/>
    </w:pPr>
    <w:rPr>
      <w:rFonts w:ascii="Times New Roman" w:hAnsi="Times New Roman"/>
      <w:sz w:val="22"/>
      <w:lang w:val="es-ES"/>
    </w:rPr>
  </w:style>
  <w:style w:type="character" w:customStyle="1" w:styleId="SangradetextonormalCar">
    <w:name w:val="Sangría de texto normal Car"/>
    <w:basedOn w:val="Fuentedeprrafopredeter"/>
    <w:link w:val="Sangradetextonormal"/>
    <w:rsid w:val="005752B7"/>
    <w:rPr>
      <w:rFonts w:ascii="Times New Roman" w:eastAsia="Times New Roman" w:hAnsi="Times New Roman" w:cs="Times New Roman"/>
      <w:szCs w:val="20"/>
      <w:lang w:eastAsia="es-ES"/>
    </w:rPr>
  </w:style>
  <w:style w:type="paragraph" w:styleId="Prrafodelista">
    <w:name w:val="List Paragraph"/>
    <w:basedOn w:val="Normal"/>
    <w:uiPriority w:val="34"/>
    <w:qFormat/>
    <w:rsid w:val="00661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3739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Iglesias de Guzman</dc:creator>
  <cp:keywords/>
  <dc:description/>
  <cp:lastModifiedBy>Montserrat Manzano Alonso</cp:lastModifiedBy>
  <cp:revision>2</cp:revision>
  <cp:lastPrinted>2021-07-20T08:17:00Z</cp:lastPrinted>
  <dcterms:created xsi:type="dcterms:W3CDTF">2022-02-09T14:06:00Z</dcterms:created>
  <dcterms:modified xsi:type="dcterms:W3CDTF">2022-02-09T14:06:00Z</dcterms:modified>
</cp:coreProperties>
</file>